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D288" w14:textId="77777777" w:rsidR="004A7A65" w:rsidRPr="004A7A65" w:rsidRDefault="004A7A65" w:rsidP="004A7A6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4A7A65">
        <w:rPr>
          <w:rFonts w:ascii="Lato" w:eastAsia="Times New Roman" w:hAnsi="Lato" w:cs="Times New Roman"/>
          <w:color w:val="CC3300"/>
          <w:kern w:val="36"/>
          <w:sz w:val="36"/>
          <w:szCs w:val="36"/>
          <w:lang w:eastAsia="fr-BE"/>
        </w:rPr>
        <w:t>Sumitomo table sur une nette hausse de la demande en nickel pour les VE</w:t>
      </w:r>
    </w:p>
    <w:p w14:paraId="33312EED" w14:textId="77777777" w:rsidR="004A7A65" w:rsidRDefault="004A7A65" w:rsidP="004A7A65">
      <w:pPr>
        <w:shd w:val="clear" w:color="auto" w:fill="FFFFFF"/>
        <w:spacing w:before="75" w:after="75" w:line="240" w:lineRule="auto"/>
        <w:jc w:val="both"/>
        <w:rPr>
          <w:rFonts w:ascii="Lato" w:eastAsia="Times New Roman" w:hAnsi="Lato" w:cs="Times New Roman"/>
          <w:color w:val="3E001F"/>
          <w:sz w:val="30"/>
          <w:szCs w:val="30"/>
          <w:lang w:eastAsia="fr-BE"/>
        </w:rPr>
      </w:pPr>
    </w:p>
    <w:p w14:paraId="56FE8272" w14:textId="40C07ABB"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b/>
          <w:bCs/>
          <w:color w:val="000000"/>
          <w:sz w:val="23"/>
          <w:szCs w:val="23"/>
          <w:lang w:eastAsia="fr-BE"/>
        </w:rPr>
        <w:t xml:space="preserve">La demande mondiale en nickel, pour le secteur des batteries de véhicules électriques (VE), devrait progresser de plus de 20% cette année, selon Sumitomo </w:t>
      </w:r>
      <w:proofErr w:type="spellStart"/>
      <w:r w:rsidRPr="004A7A65">
        <w:rPr>
          <w:rFonts w:ascii="Lato" w:eastAsia="Times New Roman" w:hAnsi="Lato" w:cs="Times New Roman"/>
          <w:b/>
          <w:bCs/>
          <w:color w:val="000000"/>
          <w:sz w:val="23"/>
          <w:szCs w:val="23"/>
          <w:lang w:eastAsia="fr-BE"/>
        </w:rPr>
        <w:t>Metals</w:t>
      </w:r>
      <w:proofErr w:type="spellEnd"/>
      <w:r w:rsidRPr="004A7A65">
        <w:rPr>
          <w:rFonts w:ascii="Lato" w:eastAsia="Times New Roman" w:hAnsi="Lato" w:cs="Times New Roman"/>
          <w:b/>
          <w:bCs/>
          <w:color w:val="000000"/>
          <w:sz w:val="23"/>
          <w:szCs w:val="23"/>
          <w:lang w:eastAsia="fr-BE"/>
        </w:rPr>
        <w:t xml:space="preserve"> Mining, premier producteur de ce métal au Japon.</w:t>
      </w:r>
    </w:p>
    <w:p w14:paraId="7CDF3F22" w14:textId="77777777"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color w:val="000000"/>
          <w:sz w:val="23"/>
          <w:szCs w:val="23"/>
          <w:lang w:eastAsia="fr-BE"/>
        </w:rPr>
        <w:t> </w:t>
      </w:r>
    </w:p>
    <w:p w14:paraId="1B85E587" w14:textId="77777777"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color w:val="000000"/>
          <w:sz w:val="23"/>
          <w:szCs w:val="23"/>
          <w:lang w:eastAsia="fr-BE"/>
        </w:rPr>
        <w:t>Sumitomo prévoit que la demande en nickel à destination des VE excèdera 410.000 tonnes cette année, ceci comparé à 330.000 tonnes en 2021.</w:t>
      </w:r>
    </w:p>
    <w:p w14:paraId="7AC32E5A" w14:textId="77777777"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color w:val="000000"/>
          <w:sz w:val="23"/>
          <w:szCs w:val="23"/>
          <w:lang w:eastAsia="fr-BE"/>
        </w:rPr>
        <w:t>« </w:t>
      </w:r>
      <w:r w:rsidRPr="004A7A65">
        <w:rPr>
          <w:rFonts w:ascii="Lato" w:eastAsia="Times New Roman" w:hAnsi="Lato" w:cs="Times New Roman"/>
          <w:i/>
          <w:iCs/>
          <w:color w:val="000000"/>
          <w:sz w:val="23"/>
          <w:szCs w:val="23"/>
          <w:lang w:eastAsia="fr-BE"/>
        </w:rPr>
        <w:t>La demande du secteur des batteries progresse plus vite qu’escompté</w:t>
      </w:r>
      <w:r w:rsidRPr="004A7A65">
        <w:rPr>
          <w:rFonts w:ascii="Lato" w:eastAsia="Times New Roman" w:hAnsi="Lato" w:cs="Times New Roman"/>
          <w:color w:val="000000"/>
          <w:sz w:val="23"/>
          <w:szCs w:val="23"/>
          <w:lang w:eastAsia="fr-BE"/>
        </w:rPr>
        <w:t xml:space="preserve"> », commente </w:t>
      </w:r>
      <w:proofErr w:type="spellStart"/>
      <w:r w:rsidRPr="004A7A65">
        <w:rPr>
          <w:rFonts w:ascii="Lato" w:eastAsia="Times New Roman" w:hAnsi="Lato" w:cs="Times New Roman"/>
          <w:color w:val="000000"/>
          <w:sz w:val="23"/>
          <w:szCs w:val="23"/>
          <w:lang w:eastAsia="fr-BE"/>
        </w:rPr>
        <w:t>Yusuke</w:t>
      </w:r>
      <w:proofErr w:type="spellEnd"/>
      <w:r w:rsidRPr="004A7A65">
        <w:rPr>
          <w:rFonts w:ascii="Lato" w:eastAsia="Times New Roman" w:hAnsi="Lato" w:cs="Times New Roman"/>
          <w:color w:val="000000"/>
          <w:sz w:val="23"/>
          <w:szCs w:val="23"/>
          <w:lang w:eastAsia="fr-BE"/>
        </w:rPr>
        <w:t xml:space="preserve"> </w:t>
      </w:r>
      <w:proofErr w:type="spellStart"/>
      <w:r w:rsidRPr="004A7A65">
        <w:rPr>
          <w:rFonts w:ascii="Lato" w:eastAsia="Times New Roman" w:hAnsi="Lato" w:cs="Times New Roman"/>
          <w:color w:val="000000"/>
          <w:sz w:val="23"/>
          <w:szCs w:val="23"/>
          <w:lang w:eastAsia="fr-BE"/>
        </w:rPr>
        <w:t>Niwa</w:t>
      </w:r>
      <w:proofErr w:type="spellEnd"/>
      <w:r w:rsidRPr="004A7A65">
        <w:rPr>
          <w:rFonts w:ascii="Lato" w:eastAsia="Times New Roman" w:hAnsi="Lato" w:cs="Times New Roman"/>
          <w:color w:val="000000"/>
          <w:sz w:val="23"/>
          <w:szCs w:val="23"/>
          <w:lang w:eastAsia="fr-BE"/>
        </w:rPr>
        <w:t xml:space="preserve">, chef du département Ventes et Matières premières pour le groupe japonais, selon qui, la progression des cours du nickel pourrait altérer à long terme la croissance de la demande et ce, alors qu’en parallèle les </w:t>
      </w:r>
      <w:proofErr w:type="gramStart"/>
      <w:r w:rsidRPr="004A7A65">
        <w:rPr>
          <w:rFonts w:ascii="Lato" w:eastAsia="Times New Roman" w:hAnsi="Lato" w:cs="Times New Roman"/>
          <w:color w:val="000000"/>
          <w:sz w:val="23"/>
          <w:szCs w:val="23"/>
          <w:lang w:eastAsia="fr-BE"/>
        </w:rPr>
        <w:t>entreprises  travaillent</w:t>
      </w:r>
      <w:proofErr w:type="gramEnd"/>
      <w:r w:rsidRPr="004A7A65">
        <w:rPr>
          <w:rFonts w:ascii="Lato" w:eastAsia="Times New Roman" w:hAnsi="Lato" w:cs="Times New Roman"/>
          <w:color w:val="000000"/>
          <w:sz w:val="23"/>
          <w:szCs w:val="23"/>
          <w:lang w:eastAsia="fr-BE"/>
        </w:rPr>
        <w:t xml:space="preserve"> à développer des nouvelles technologies moins gourmandes en nickel.</w:t>
      </w:r>
    </w:p>
    <w:p w14:paraId="2CD62962" w14:textId="77777777"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color w:val="000000"/>
          <w:sz w:val="23"/>
          <w:szCs w:val="23"/>
          <w:lang w:eastAsia="fr-BE"/>
        </w:rPr>
        <w:t>Le producteur japonais prévoit, par ailleurs, un déficit de marché de 68.000 tonnes cette année, après un déficit de 135.000 tonnes en 2021, la production indonésienne de fonte de nickel étant attendue en hausse à plus d’1 million de tonnes.</w:t>
      </w:r>
    </w:p>
    <w:p w14:paraId="2EFE63A7" w14:textId="77777777" w:rsidR="004A7A65" w:rsidRPr="004A7A65" w:rsidRDefault="004A7A65" w:rsidP="004A7A65">
      <w:pPr>
        <w:shd w:val="clear" w:color="auto" w:fill="FFFFFF"/>
        <w:spacing w:before="75" w:after="75" w:line="240" w:lineRule="auto"/>
        <w:jc w:val="both"/>
        <w:rPr>
          <w:rFonts w:ascii="Lato" w:eastAsia="Times New Roman" w:hAnsi="Lato" w:cs="Times New Roman"/>
          <w:color w:val="000000"/>
          <w:sz w:val="23"/>
          <w:szCs w:val="23"/>
          <w:lang w:eastAsia="fr-BE"/>
        </w:rPr>
      </w:pPr>
      <w:r w:rsidRPr="004A7A65">
        <w:rPr>
          <w:rFonts w:ascii="Lato" w:eastAsia="Times New Roman" w:hAnsi="Lato" w:cs="Times New Roman"/>
          <w:color w:val="000000"/>
          <w:sz w:val="23"/>
          <w:szCs w:val="23"/>
          <w:lang w:eastAsia="fr-BE"/>
        </w:rPr>
        <w:t>La demande globale en nickel est, elle, vue en hausse de 8,4% en 2022 à 2,999 millions de tonnes, tandis que l’offre est anticipée en progression de 11,4% à 2,931 millions de tonnes.</w:t>
      </w:r>
    </w:p>
    <w:p w14:paraId="7041C958" w14:textId="77777777" w:rsidR="005A03BF" w:rsidRDefault="005A03BF"/>
    <w:sectPr w:rsidR="005A0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65"/>
    <w:rsid w:val="004A7A65"/>
    <w:rsid w:val="005A0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A07C"/>
  <w15:chartTrackingRefBased/>
  <w15:docId w15:val="{DAE1C1B1-FB8C-4C5A-B4C5-998FB374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2022-04-05T05:24:00Z</dcterms:created>
  <dcterms:modified xsi:type="dcterms:W3CDTF">2022-04-05T05:24:00Z</dcterms:modified>
</cp:coreProperties>
</file>